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400F3" w14:textId="3D9C967A" w:rsidR="0049315C" w:rsidRDefault="0049315C" w:rsidP="00602E0E">
      <w:pPr>
        <w:pStyle w:val="Heading1"/>
        <w:spacing w:after="120"/>
        <w:ind w:left="397" w:right="0" w:hanging="397"/>
      </w:pPr>
      <w:r>
        <w:t>PURPOSE OF THIS DOCUMENT</w:t>
      </w:r>
    </w:p>
    <w:p w14:paraId="04D4F2DC" w14:textId="3687B68B" w:rsidR="0049315C" w:rsidRDefault="00222CA8" w:rsidP="00602E0E">
      <w:pPr>
        <w:pStyle w:val="Body12"/>
      </w:pPr>
      <w:r w:rsidRPr="00222CA8">
        <w:t>This document should be used by the newly appointed observers to realize their roles and responsibilities during a program evaluation.</w:t>
      </w:r>
    </w:p>
    <w:p w14:paraId="20B15335" w14:textId="362C11AA" w:rsidR="0049315C" w:rsidRDefault="0049315C" w:rsidP="00602E0E">
      <w:pPr>
        <w:pStyle w:val="Heading1"/>
      </w:pPr>
      <w:r>
        <w:t>SCOPE OF THIS DOCUMENT</w:t>
      </w:r>
    </w:p>
    <w:p w14:paraId="46068812" w14:textId="4DF326AE" w:rsidR="00006153" w:rsidRPr="00602E0E" w:rsidRDefault="00222CA8" w:rsidP="00602E0E">
      <w:pPr>
        <w:pStyle w:val="Body12"/>
      </w:pPr>
      <w:r w:rsidRPr="00222CA8">
        <w:t>This document covers the roles and responsibility of observers appointed by the BAETE during their observation to a program evaluation</w:t>
      </w:r>
      <w:r>
        <w:t>.</w:t>
      </w:r>
    </w:p>
    <w:p w14:paraId="011B8D1B" w14:textId="7CB13E99" w:rsidR="00E34442" w:rsidRDefault="00A545C3" w:rsidP="00602E0E">
      <w:pPr>
        <w:pStyle w:val="Heading1"/>
      </w:pPr>
      <w:r>
        <w:t>ROLES AND RESPONSIBILITIES</w:t>
      </w:r>
    </w:p>
    <w:p w14:paraId="181AAA64" w14:textId="0747708E" w:rsidR="00C43B31" w:rsidRPr="001311A8" w:rsidRDefault="00222CA8" w:rsidP="00C43B31">
      <w:pPr>
        <w:pStyle w:val="Heading2"/>
      </w:pPr>
      <w:r>
        <w:t>Observers in Program Evaluation</w:t>
      </w:r>
    </w:p>
    <w:p w14:paraId="03D66FCE" w14:textId="633FC04A" w:rsidR="00C43B31" w:rsidRDefault="00222CA8">
      <w:pPr>
        <w:pStyle w:val="ListParagraph"/>
        <w:numPr>
          <w:ilvl w:val="0"/>
          <w:numId w:val="2"/>
        </w:numPr>
        <w:ind w:right="29"/>
        <w:jc w:val="both"/>
        <w:rPr>
          <w:rFonts w:ascii="Arial Narrow" w:eastAsia="Arial Narrow" w:hAnsi="Arial Narrow" w:cs="Arial Narrow"/>
        </w:rPr>
      </w:pPr>
      <w:r w:rsidRPr="00222CA8">
        <w:rPr>
          <w:rFonts w:ascii="Arial Narrow" w:eastAsia="Arial Narrow" w:hAnsi="Arial Narrow" w:cs="Arial Narrow"/>
        </w:rPr>
        <w:t xml:space="preserve">An observer should follow the workflow presented in section </w:t>
      </w:r>
      <w:r>
        <w:rPr>
          <w:rFonts w:ascii="Arial Narrow" w:eastAsia="Arial Narrow" w:hAnsi="Arial Narrow" w:cs="Arial Narrow"/>
        </w:rPr>
        <w:t>5</w:t>
      </w:r>
      <w:r w:rsidRPr="00222CA8">
        <w:rPr>
          <w:rFonts w:ascii="Arial Narrow" w:eastAsia="Arial Narrow" w:hAnsi="Arial Narrow" w:cs="Arial Narrow"/>
        </w:rPr>
        <w:t xml:space="preserve"> of this document during one’s participation in the program evaluation.</w:t>
      </w:r>
    </w:p>
    <w:p w14:paraId="754C0205" w14:textId="77777777" w:rsidR="00C43B31" w:rsidRPr="00C43B31" w:rsidRDefault="00C43B31" w:rsidP="00C43B31">
      <w:pPr>
        <w:pStyle w:val="ListParagraph"/>
        <w:ind w:left="1080"/>
        <w:jc w:val="both"/>
        <w:rPr>
          <w:rFonts w:ascii="Arial Narrow" w:hAnsi="Arial Narrow"/>
        </w:rPr>
      </w:pPr>
    </w:p>
    <w:p w14:paraId="5ECFF92E" w14:textId="372F80F2" w:rsidR="00D62F5F" w:rsidRDefault="00D62F5F" w:rsidP="00602E0E">
      <w:pPr>
        <w:pStyle w:val="Heading1"/>
      </w:pPr>
      <w:r>
        <w:t>DEFINITIONS AND ACRONYMS</w:t>
      </w:r>
    </w:p>
    <w:p w14:paraId="15C2ED9B" w14:textId="1F485E12" w:rsidR="008D07AB" w:rsidRPr="008D07AB" w:rsidRDefault="008D07AB" w:rsidP="008D07AB">
      <w:pPr>
        <w:ind w:left="360"/>
        <w:rPr>
          <w:rFonts w:ascii="Arial Narrow" w:hAnsi="Arial Narrow"/>
        </w:rPr>
      </w:pPr>
      <w:r>
        <w:rPr>
          <w:rFonts w:ascii="Arial Narrow" w:hAnsi="Arial Narrow"/>
        </w:rPr>
        <w:t xml:space="preserve">See ACC-MAN-06 for </w:t>
      </w:r>
      <w:r w:rsidRPr="008D07AB">
        <w:rPr>
          <w:rFonts w:ascii="Arial Narrow" w:hAnsi="Arial Narrow"/>
          <w:i/>
          <w:iCs/>
        </w:rPr>
        <w:t>definitions and acronyms</w:t>
      </w:r>
      <w:r>
        <w:rPr>
          <w:rFonts w:ascii="Arial Narrow" w:hAnsi="Arial Narrow"/>
        </w:rPr>
        <w:t>.</w:t>
      </w:r>
    </w:p>
    <w:p w14:paraId="0CE3F033" w14:textId="7E7B464C" w:rsidR="00006153" w:rsidRDefault="0057343E" w:rsidP="00602E0E">
      <w:pPr>
        <w:pStyle w:val="Heading1"/>
      </w:pPr>
      <w:r>
        <w:t>SPECIFIC PROCEDURE</w:t>
      </w:r>
    </w:p>
    <w:p w14:paraId="18303ED7" w14:textId="77777777" w:rsidR="007201D8" w:rsidRPr="007201D8" w:rsidRDefault="0057343E" w:rsidP="0057343E">
      <w:pPr>
        <w:pStyle w:val="Body12"/>
        <w:rPr>
          <w:b/>
          <w:bCs/>
        </w:rPr>
      </w:pPr>
      <w:r w:rsidRPr="007201D8">
        <w:rPr>
          <w:b/>
          <w:bCs/>
        </w:rPr>
        <w:t>Step 1</w:t>
      </w:r>
    </w:p>
    <w:p w14:paraId="3A198C20" w14:textId="3BC4F0C3" w:rsidR="00222CA8" w:rsidRDefault="00222CA8" w:rsidP="0057343E">
      <w:pPr>
        <w:pStyle w:val="Body12"/>
      </w:pPr>
      <w:r w:rsidRPr="00222CA8">
        <w:t xml:space="preserve">The observer shall log into the BAETE AMS with the login credential provided by the BAETE to access his/her “evaluator dashboard”. </w:t>
      </w:r>
      <w:r>
        <w:t>T</w:t>
      </w:r>
      <w:r w:rsidRPr="00222CA8">
        <w:t>he observer will be able to see the program to which he/she has been assigned in the dashboard</w:t>
      </w:r>
      <w:r>
        <w:t>.</w:t>
      </w:r>
    </w:p>
    <w:p w14:paraId="3253867B" w14:textId="77777777" w:rsidR="00222CA8" w:rsidRDefault="00222CA8" w:rsidP="0057343E">
      <w:pPr>
        <w:pStyle w:val="Body12"/>
      </w:pPr>
    </w:p>
    <w:p w14:paraId="3EEF66DE" w14:textId="3A390FA2" w:rsidR="007201D8" w:rsidRPr="007201D8" w:rsidRDefault="0057343E" w:rsidP="0057343E">
      <w:pPr>
        <w:pStyle w:val="Body12"/>
        <w:rPr>
          <w:b/>
          <w:bCs/>
        </w:rPr>
      </w:pPr>
      <w:r w:rsidRPr="007201D8">
        <w:rPr>
          <w:b/>
          <w:bCs/>
        </w:rPr>
        <w:t>Step 2</w:t>
      </w:r>
    </w:p>
    <w:p w14:paraId="422201D8" w14:textId="65B2513F" w:rsidR="00501219" w:rsidRDefault="00222CA8" w:rsidP="0057343E">
      <w:pPr>
        <w:pStyle w:val="Body12"/>
      </w:pPr>
      <w:r w:rsidRPr="00222CA8">
        <w:t>: The observer shall clear the Conflict of Interest (COI) by clicking the COI link. If he/she has a COI, the observer will select accordingly and will take no further part in the evaluation process. In case of no COI, the observer will be able to access the SAR and other supporting documents from the dashboard once he/she clears the COI by clicking “NO” in the COI declaration window.</w:t>
      </w:r>
    </w:p>
    <w:p w14:paraId="3F829D71" w14:textId="77777777" w:rsidR="00222CA8" w:rsidRDefault="00222CA8" w:rsidP="0057343E">
      <w:pPr>
        <w:pStyle w:val="Body12"/>
        <w:rPr>
          <w:b/>
          <w:bCs/>
        </w:rPr>
      </w:pPr>
    </w:p>
    <w:p w14:paraId="74D2F78E" w14:textId="000D53EF" w:rsidR="00501219" w:rsidRPr="00501219" w:rsidRDefault="00501219" w:rsidP="0057343E">
      <w:pPr>
        <w:pStyle w:val="Body12"/>
        <w:rPr>
          <w:b/>
          <w:bCs/>
        </w:rPr>
      </w:pPr>
      <w:r w:rsidRPr="00501219">
        <w:rPr>
          <w:b/>
          <w:bCs/>
        </w:rPr>
        <w:t xml:space="preserve">Step </w:t>
      </w:r>
      <w:r w:rsidR="00222CA8">
        <w:rPr>
          <w:b/>
          <w:bCs/>
        </w:rPr>
        <w:t>3</w:t>
      </w:r>
    </w:p>
    <w:p w14:paraId="65A2D95C" w14:textId="6AFC34CF" w:rsidR="008D07AB" w:rsidRDefault="00222CA8" w:rsidP="0057343E">
      <w:pPr>
        <w:pStyle w:val="Body12"/>
      </w:pPr>
      <w:r w:rsidRPr="00222CA8">
        <w:t>The observer shall go through the SAR prior to attending the first pre-visit meeting to note down his/her observations.</w:t>
      </w:r>
    </w:p>
    <w:p w14:paraId="08E9856C" w14:textId="77777777" w:rsidR="008D07AB" w:rsidRDefault="008D07AB">
      <w:pPr>
        <w:rPr>
          <w:rFonts w:ascii="Arial Narrow" w:eastAsia="Arial Narrow" w:hAnsi="Arial Narrow" w:cs="Arial Narrow"/>
        </w:rPr>
      </w:pPr>
      <w:r>
        <w:br w:type="page"/>
      </w:r>
    </w:p>
    <w:p w14:paraId="7CE758D2" w14:textId="520CE76D" w:rsidR="007201D8" w:rsidRDefault="0057343E" w:rsidP="0057343E">
      <w:pPr>
        <w:pStyle w:val="Body12"/>
        <w:rPr>
          <w:b/>
          <w:bCs/>
        </w:rPr>
      </w:pPr>
      <w:r w:rsidRPr="007201D8">
        <w:rPr>
          <w:b/>
          <w:bCs/>
        </w:rPr>
        <w:lastRenderedPageBreak/>
        <w:t xml:space="preserve">Step </w:t>
      </w:r>
      <w:r w:rsidR="00222CA8">
        <w:rPr>
          <w:b/>
          <w:bCs/>
        </w:rPr>
        <w:t>4</w:t>
      </w:r>
    </w:p>
    <w:p w14:paraId="1B78B88C" w14:textId="77777777" w:rsidR="00222CA8" w:rsidRDefault="00222CA8" w:rsidP="00222CA8">
      <w:pPr>
        <w:pStyle w:val="Body12"/>
      </w:pPr>
      <w:r w:rsidRPr="00222CA8">
        <w:t>The observer shall attend all pre-visit activities. The observer shall not directly participate in the pre-visit activities, rather they will observe the process followed by the evaluation team members to scrutiny the SAR.</w:t>
      </w:r>
    </w:p>
    <w:p w14:paraId="73F4D2EE" w14:textId="77777777" w:rsidR="00222CA8" w:rsidRDefault="00222CA8" w:rsidP="00222CA8">
      <w:pPr>
        <w:pStyle w:val="Body12"/>
      </w:pPr>
    </w:p>
    <w:p w14:paraId="6E75E8D4" w14:textId="77777777" w:rsidR="00222CA8" w:rsidRDefault="00222CA8" w:rsidP="00222CA8">
      <w:pPr>
        <w:pStyle w:val="Body12"/>
      </w:pPr>
      <w:r>
        <w:t>Step 5</w:t>
      </w:r>
    </w:p>
    <w:p w14:paraId="4BC61181" w14:textId="77777777" w:rsidR="00222CA8" w:rsidRDefault="00222CA8" w:rsidP="00222CA8">
      <w:pPr>
        <w:pStyle w:val="Body12"/>
      </w:pPr>
      <w:r w:rsidRPr="00222CA8">
        <w:t>The observer shall travel with the evaluation team to the program to observe the entire evaluation visit. The travel and subsistence expenses during the visit shall be met by the program/BAETE.</w:t>
      </w:r>
    </w:p>
    <w:p w14:paraId="2823D2E1" w14:textId="77777777" w:rsidR="00222CA8" w:rsidRDefault="00222CA8" w:rsidP="00222CA8">
      <w:pPr>
        <w:pStyle w:val="Body12"/>
      </w:pPr>
    </w:p>
    <w:p w14:paraId="16E1EE5D" w14:textId="77777777" w:rsidR="00222CA8" w:rsidRDefault="00222CA8" w:rsidP="00222CA8">
      <w:pPr>
        <w:pStyle w:val="Body12"/>
      </w:pPr>
      <w:r>
        <w:t>Step 6</w:t>
      </w:r>
    </w:p>
    <w:p w14:paraId="7ED0BC92" w14:textId="77777777" w:rsidR="00222CA8" w:rsidRDefault="00222CA8" w:rsidP="00222CA8">
      <w:pPr>
        <w:pStyle w:val="Body12"/>
      </w:pPr>
      <w:r>
        <w:t>The observer shall not participate in the activities during the evaluation visit. Rather, the observer shall keep note of the entire process to get familiarized with an evaluator’s role and responsibility during the evaluation visit.</w:t>
      </w:r>
    </w:p>
    <w:p w14:paraId="13170973" w14:textId="77777777" w:rsidR="00222CA8" w:rsidRDefault="00222CA8" w:rsidP="00222CA8">
      <w:pPr>
        <w:pStyle w:val="Body12"/>
      </w:pPr>
    </w:p>
    <w:p w14:paraId="49373461" w14:textId="77777777" w:rsidR="00222CA8" w:rsidRDefault="00222CA8" w:rsidP="00222CA8">
      <w:pPr>
        <w:pStyle w:val="Body12"/>
      </w:pPr>
      <w:r>
        <w:t>Step 7</w:t>
      </w:r>
    </w:p>
    <w:p w14:paraId="19783CE5" w14:textId="3BA1B014" w:rsidR="000D75C0" w:rsidRDefault="00222CA8" w:rsidP="00222CA8">
      <w:pPr>
        <w:pStyle w:val="Body12"/>
      </w:pPr>
      <w:r>
        <w:t xml:space="preserve"> </w:t>
      </w:r>
      <w:r w:rsidRPr="00222CA8">
        <w:t>After completion of the evaluation process, the observer shall prepare a report following template ACC-TMP-04-16. The observer shall submit the report to the Registrar, BAETE, to complete his role as an observer.</w:t>
      </w:r>
    </w:p>
    <w:p w14:paraId="4781F71D" w14:textId="77777777" w:rsidR="00222CA8" w:rsidRDefault="00222CA8" w:rsidP="00222CA8">
      <w:pPr>
        <w:pStyle w:val="Body12"/>
      </w:pPr>
    </w:p>
    <w:p w14:paraId="5E68D657" w14:textId="6F25C166" w:rsidR="00222CA8" w:rsidRDefault="00222CA8" w:rsidP="00222CA8">
      <w:pPr>
        <w:pStyle w:val="Body12"/>
      </w:pPr>
      <w:r>
        <w:t>Step 8</w:t>
      </w:r>
    </w:p>
    <w:p w14:paraId="478EC397" w14:textId="15664BD7" w:rsidR="00222CA8" w:rsidRDefault="00222CA8" w:rsidP="00222CA8">
      <w:pPr>
        <w:pStyle w:val="Body12"/>
      </w:pPr>
      <w:r w:rsidRPr="00222CA8">
        <w:t>viii.</w:t>
      </w:r>
      <w:r w:rsidRPr="00222CA8">
        <w:tab/>
        <w:t>Step 8: Once the observer’s role is upgraded to “Evaluator”, if approached by the BAETE, the new evaluator shall conduct two visits per year.</w:t>
      </w:r>
    </w:p>
    <w:p w14:paraId="11B758D6" w14:textId="3FD717AD" w:rsidR="00386809" w:rsidRDefault="00386809" w:rsidP="00386809">
      <w:pPr>
        <w:pStyle w:val="Heading1"/>
      </w:pPr>
      <w:r>
        <w:t>FORMS/TEMPLATES TO BE USED</w:t>
      </w:r>
    </w:p>
    <w:p w14:paraId="22413B3E" w14:textId="72A04DC4" w:rsidR="00C17A2A" w:rsidRPr="0095488D" w:rsidRDefault="00222CA8" w:rsidP="0095488D">
      <w:pPr>
        <w:pStyle w:val="Body12"/>
      </w:pPr>
      <w:r>
        <w:t>Template ACC-TMP-04-16: Observer report</w:t>
      </w:r>
    </w:p>
    <w:p w14:paraId="643C276E" w14:textId="6C6A141C" w:rsidR="00386809" w:rsidRDefault="008D07AB" w:rsidP="00386809">
      <w:pPr>
        <w:pStyle w:val="Heading1"/>
      </w:pPr>
      <w:r>
        <w:t>EXCEPTIONS</w:t>
      </w:r>
    </w:p>
    <w:p w14:paraId="6D3FF3B7" w14:textId="4C8214D9" w:rsidR="00A12300" w:rsidRPr="0095488D" w:rsidRDefault="0095488D" w:rsidP="0095488D">
      <w:pPr>
        <w:pStyle w:val="Body12"/>
      </w:pPr>
      <w:r>
        <w:t>None</w:t>
      </w:r>
    </w:p>
    <w:p w14:paraId="38EBCF41" w14:textId="5FCBA643" w:rsidR="00E962CE" w:rsidRDefault="00CE046D" w:rsidP="00602E0E">
      <w:pPr>
        <w:pStyle w:val="Heading1"/>
      </w:pPr>
      <w:r>
        <w:t>REVISION HISTORY</w:t>
      </w:r>
      <w:r w:rsidR="00E962CE">
        <w:tab/>
      </w:r>
    </w:p>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1560"/>
        <w:gridCol w:w="992"/>
        <w:gridCol w:w="6474"/>
      </w:tblGrid>
      <w:tr w:rsidR="00103F5C" w:rsidRPr="00E962CE" w14:paraId="633699FE" w14:textId="13AC239A" w:rsidTr="00916323">
        <w:tc>
          <w:tcPr>
            <w:tcW w:w="1560" w:type="dxa"/>
          </w:tcPr>
          <w:p w14:paraId="266BCD26" w14:textId="2346C605" w:rsidR="00103F5C" w:rsidRPr="00E962CE" w:rsidRDefault="00103F5C" w:rsidP="007B50C1">
            <w:pPr>
              <w:rPr>
                <w:rFonts w:ascii="Arial Narrow" w:hAnsi="Arial Narrow"/>
                <w:b/>
                <w:bCs/>
              </w:rPr>
            </w:pPr>
            <w:r w:rsidRPr="00E962CE">
              <w:rPr>
                <w:rFonts w:ascii="Arial Narrow" w:hAnsi="Arial Narrow"/>
                <w:b/>
                <w:bCs/>
              </w:rPr>
              <w:t>Date</w:t>
            </w:r>
          </w:p>
        </w:tc>
        <w:tc>
          <w:tcPr>
            <w:tcW w:w="992" w:type="dxa"/>
          </w:tcPr>
          <w:p w14:paraId="10A9F55D" w14:textId="79BA0115" w:rsidR="00103F5C" w:rsidRPr="00E962CE" w:rsidRDefault="00103F5C" w:rsidP="007B50C1">
            <w:pPr>
              <w:rPr>
                <w:rFonts w:ascii="Arial Narrow" w:hAnsi="Arial Narrow"/>
                <w:b/>
                <w:bCs/>
              </w:rPr>
            </w:pPr>
            <w:r w:rsidRPr="00E962CE">
              <w:rPr>
                <w:rFonts w:ascii="Arial Narrow" w:hAnsi="Arial Narrow"/>
                <w:b/>
                <w:bCs/>
              </w:rPr>
              <w:t>Version</w:t>
            </w:r>
          </w:p>
        </w:tc>
        <w:tc>
          <w:tcPr>
            <w:tcW w:w="6474" w:type="dxa"/>
          </w:tcPr>
          <w:p w14:paraId="4DDE8FE1" w14:textId="19998509" w:rsidR="00103F5C" w:rsidRPr="00E962CE" w:rsidRDefault="00103F5C" w:rsidP="007B50C1">
            <w:pPr>
              <w:rPr>
                <w:rFonts w:ascii="Arial Narrow" w:hAnsi="Arial Narrow"/>
                <w:b/>
                <w:bCs/>
              </w:rPr>
            </w:pPr>
            <w:r w:rsidRPr="00E962CE">
              <w:rPr>
                <w:rFonts w:ascii="Arial Narrow" w:hAnsi="Arial Narrow"/>
                <w:b/>
                <w:bCs/>
              </w:rPr>
              <w:t>Description of Change</w:t>
            </w:r>
          </w:p>
        </w:tc>
      </w:tr>
      <w:tr w:rsidR="00222CA8" w:rsidRPr="00E962CE" w14:paraId="60F3E62C" w14:textId="77777777" w:rsidTr="00916323">
        <w:tc>
          <w:tcPr>
            <w:tcW w:w="1560" w:type="dxa"/>
          </w:tcPr>
          <w:p w14:paraId="3548AC3C" w14:textId="3D430EB6" w:rsidR="00222CA8" w:rsidRDefault="00222CA8" w:rsidP="007B50C1">
            <w:pPr>
              <w:rPr>
                <w:rFonts w:ascii="Arial Narrow" w:hAnsi="Arial Narrow"/>
              </w:rPr>
            </w:pPr>
            <w:r>
              <w:rPr>
                <w:rFonts w:ascii="Arial Narrow" w:hAnsi="Arial Narrow"/>
              </w:rPr>
              <w:t>09 April 2022</w:t>
            </w:r>
          </w:p>
        </w:tc>
        <w:tc>
          <w:tcPr>
            <w:tcW w:w="992" w:type="dxa"/>
          </w:tcPr>
          <w:p w14:paraId="40044506" w14:textId="17AB602E" w:rsidR="00222CA8" w:rsidRPr="00E962CE" w:rsidRDefault="00222CA8" w:rsidP="007B50C1">
            <w:pPr>
              <w:rPr>
                <w:rFonts w:ascii="Arial Narrow" w:hAnsi="Arial Narrow"/>
              </w:rPr>
            </w:pPr>
            <w:r>
              <w:rPr>
                <w:rFonts w:ascii="Arial Narrow" w:hAnsi="Arial Narrow"/>
              </w:rPr>
              <w:t>1.0</w:t>
            </w:r>
          </w:p>
        </w:tc>
        <w:tc>
          <w:tcPr>
            <w:tcW w:w="6474" w:type="dxa"/>
          </w:tcPr>
          <w:p w14:paraId="7ED8DF1A" w14:textId="7498FB3E" w:rsidR="00222CA8" w:rsidRDefault="00222CA8" w:rsidP="007B50C1">
            <w:pPr>
              <w:rPr>
                <w:rFonts w:ascii="Arial Narrow" w:hAnsi="Arial Narrow"/>
              </w:rPr>
            </w:pPr>
            <w:r>
              <w:rPr>
                <w:rFonts w:ascii="Arial Narrow" w:hAnsi="Arial Narrow"/>
              </w:rPr>
              <w:t>Initial Release</w:t>
            </w:r>
          </w:p>
        </w:tc>
      </w:tr>
      <w:tr w:rsidR="00103F5C" w:rsidRPr="00E962CE" w14:paraId="39F4DD21" w14:textId="6E4288C5" w:rsidTr="00916323">
        <w:tc>
          <w:tcPr>
            <w:tcW w:w="1560" w:type="dxa"/>
          </w:tcPr>
          <w:p w14:paraId="40BEA1BB" w14:textId="6B5C05EC" w:rsidR="00103F5C" w:rsidRPr="00E962CE" w:rsidRDefault="009223C8" w:rsidP="007B50C1">
            <w:pPr>
              <w:rPr>
                <w:rFonts w:ascii="Arial Narrow" w:hAnsi="Arial Narrow"/>
              </w:rPr>
            </w:pPr>
            <w:r>
              <w:rPr>
                <w:rFonts w:ascii="Arial Narrow" w:hAnsi="Arial Narrow"/>
              </w:rPr>
              <w:t>23 April 2024</w:t>
            </w:r>
          </w:p>
        </w:tc>
        <w:tc>
          <w:tcPr>
            <w:tcW w:w="992" w:type="dxa"/>
          </w:tcPr>
          <w:p w14:paraId="6C4F5175" w14:textId="6841EB23" w:rsidR="00103F5C" w:rsidRPr="00E962CE" w:rsidRDefault="00222CA8" w:rsidP="007B50C1">
            <w:pPr>
              <w:rPr>
                <w:rFonts w:ascii="Arial Narrow" w:hAnsi="Arial Narrow"/>
              </w:rPr>
            </w:pPr>
            <w:r>
              <w:rPr>
                <w:rFonts w:ascii="Arial Narrow" w:hAnsi="Arial Narrow"/>
              </w:rPr>
              <w:t>2.0</w:t>
            </w:r>
          </w:p>
        </w:tc>
        <w:tc>
          <w:tcPr>
            <w:tcW w:w="6474" w:type="dxa"/>
          </w:tcPr>
          <w:p w14:paraId="0985EC33" w14:textId="6BC6C040" w:rsidR="00103F5C" w:rsidRPr="00E962CE" w:rsidRDefault="00222CA8" w:rsidP="007B50C1">
            <w:pPr>
              <w:rPr>
                <w:rFonts w:ascii="Arial Narrow" w:hAnsi="Arial Narrow"/>
              </w:rPr>
            </w:pPr>
            <w:r>
              <w:rPr>
                <w:rFonts w:ascii="Arial Narrow" w:hAnsi="Arial Narrow"/>
              </w:rPr>
              <w:t>Document Restructured; the pledge statement template removed from the SOP</w:t>
            </w:r>
          </w:p>
        </w:tc>
      </w:tr>
    </w:tbl>
    <w:p w14:paraId="1FC53EE5" w14:textId="289BB220" w:rsidR="00BF7BFA" w:rsidRDefault="00BF7BFA" w:rsidP="00103F5C">
      <w:pPr>
        <w:spacing w:after="0"/>
      </w:pPr>
      <w:r>
        <w:t xml:space="preserve"> </w:t>
      </w:r>
    </w:p>
    <w:sectPr w:rsidR="00BF7BFA" w:rsidSect="000F6DAD">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C96AE" w14:textId="77777777" w:rsidR="00271D90" w:rsidRDefault="00271D90" w:rsidP="00AD338B">
      <w:pPr>
        <w:spacing w:after="0" w:line="240" w:lineRule="auto"/>
      </w:pPr>
      <w:r>
        <w:separator/>
      </w:r>
    </w:p>
  </w:endnote>
  <w:endnote w:type="continuationSeparator" w:id="0">
    <w:p w14:paraId="4183B4ED" w14:textId="77777777" w:rsidR="00271D90" w:rsidRDefault="00271D90" w:rsidP="00AD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653128"/>
      <w:docPartObj>
        <w:docPartGallery w:val="Page Numbers (Bottom of Page)"/>
        <w:docPartUnique/>
      </w:docPartObj>
    </w:sdtPr>
    <w:sdtContent>
      <w:sdt>
        <w:sdtPr>
          <w:id w:val="-1769616900"/>
          <w:docPartObj>
            <w:docPartGallery w:val="Page Numbers (Top of Page)"/>
            <w:docPartUnique/>
          </w:docPartObj>
        </w:sdtPr>
        <w:sdtContent>
          <w:p w14:paraId="6A659F68" w14:textId="79DEDA3D" w:rsidR="00893F08" w:rsidRDefault="00893F0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AF0CD9" w14:textId="2D3E9C0F" w:rsidR="00893F08" w:rsidRDefault="00893F08">
    <w:pPr>
      <w:pStyle w:val="Footer"/>
    </w:pPr>
    <w:r>
      <w:rPr>
        <w:noProof/>
      </w:rPr>
      <w:drawing>
        <wp:inline distT="0" distB="0" distL="0" distR="0" wp14:anchorId="55F5B939" wp14:editId="4ECFAE60">
          <wp:extent cx="715719" cy="252000"/>
          <wp:effectExtent l="0" t="0" r="0" b="0"/>
          <wp:docPr id="1702581582" name="Picture 2" descr="CC-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19" cy="252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8E9A5" w14:textId="77777777" w:rsidR="00271D90" w:rsidRDefault="00271D90" w:rsidP="00AD338B">
      <w:pPr>
        <w:spacing w:after="0" w:line="240" w:lineRule="auto"/>
      </w:pPr>
      <w:r>
        <w:separator/>
      </w:r>
    </w:p>
  </w:footnote>
  <w:footnote w:type="continuationSeparator" w:id="0">
    <w:p w14:paraId="14988D11" w14:textId="77777777" w:rsidR="00271D90" w:rsidRDefault="00271D90" w:rsidP="00AD3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531"/>
      <w:gridCol w:w="4485"/>
    </w:tblGrid>
    <w:tr w:rsidR="00103F5C" w14:paraId="05BC486B" w14:textId="77777777" w:rsidTr="0033593F">
      <w:tc>
        <w:tcPr>
          <w:tcW w:w="4531" w:type="dxa"/>
          <w:tcBorders>
            <w:top w:val="nil"/>
            <w:left w:val="nil"/>
            <w:bottom w:val="nil"/>
            <w:right w:val="nil"/>
          </w:tcBorders>
          <w:vAlign w:val="center"/>
        </w:tcPr>
        <w:p w14:paraId="112B14A6" w14:textId="77777777" w:rsidR="00103F5C" w:rsidRDefault="00103F5C" w:rsidP="00AD338B">
          <w:r>
            <w:rPr>
              <w:noProof/>
            </w:rPr>
            <w:drawing>
              <wp:inline distT="0" distB="0" distL="0" distR="0" wp14:anchorId="4DA41FB3" wp14:editId="7F731A33">
                <wp:extent cx="1152000" cy="1045440"/>
                <wp:effectExtent l="0" t="0" r="0" b="2540"/>
                <wp:docPr id="717781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81705" name="Picture 717781705"/>
                        <pic:cNvPicPr/>
                      </pic:nvPicPr>
                      <pic:blipFill>
                        <a:blip r:embed="rId1">
                          <a:extLst>
                            <a:ext uri="{28A0092B-C50C-407E-A947-70E740481C1C}">
                              <a14:useLocalDpi xmlns:a14="http://schemas.microsoft.com/office/drawing/2010/main" val="0"/>
                            </a:ext>
                          </a:extLst>
                        </a:blip>
                        <a:stretch>
                          <a:fillRect/>
                        </a:stretch>
                      </pic:blipFill>
                      <pic:spPr>
                        <a:xfrm>
                          <a:off x="0" y="0"/>
                          <a:ext cx="1152000" cy="1045440"/>
                        </a:xfrm>
                        <a:prstGeom prst="rect">
                          <a:avLst/>
                        </a:prstGeom>
                      </pic:spPr>
                    </pic:pic>
                  </a:graphicData>
                </a:graphic>
              </wp:inline>
            </w:drawing>
          </w:r>
        </w:p>
      </w:tc>
      <w:tc>
        <w:tcPr>
          <w:tcW w:w="4485" w:type="dxa"/>
          <w:tcBorders>
            <w:top w:val="nil"/>
            <w:left w:val="nil"/>
            <w:bottom w:val="nil"/>
            <w:right w:val="nil"/>
          </w:tcBorders>
          <w:vAlign w:val="center"/>
        </w:tcPr>
        <w:p w14:paraId="5A5CC2A6" w14:textId="0EA32AD4" w:rsidR="00103F5C" w:rsidRPr="00EE08BB" w:rsidRDefault="00103F5C" w:rsidP="00A758DA">
          <w:pPr>
            <w:rPr>
              <w:rFonts w:ascii="Arial" w:hAnsi="Arial" w:cs="Arial"/>
            </w:rPr>
          </w:pPr>
          <w:r w:rsidRPr="00EE08BB">
            <w:rPr>
              <w:rFonts w:ascii="Arial" w:hAnsi="Arial" w:cs="Arial"/>
            </w:rPr>
            <w:t xml:space="preserve">Document Number: </w:t>
          </w:r>
          <w:r w:rsidR="00372348" w:rsidRPr="00EE08BB">
            <w:rPr>
              <w:rFonts w:ascii="Arial" w:hAnsi="Arial" w:cs="Arial"/>
            </w:rPr>
            <w:t>ACC-</w:t>
          </w:r>
          <w:r w:rsidR="009223C8">
            <w:rPr>
              <w:rFonts w:ascii="Arial" w:hAnsi="Arial" w:cs="Arial"/>
            </w:rPr>
            <w:t>SOP</w:t>
          </w:r>
          <w:r w:rsidR="003B71E6" w:rsidRPr="00EE08BB">
            <w:rPr>
              <w:rFonts w:ascii="Arial" w:hAnsi="Arial" w:cs="Arial"/>
            </w:rPr>
            <w:t>-0</w:t>
          </w:r>
          <w:r w:rsidR="009223C8">
            <w:rPr>
              <w:rFonts w:ascii="Arial" w:hAnsi="Arial" w:cs="Arial"/>
            </w:rPr>
            <w:t>4-</w:t>
          </w:r>
          <w:r w:rsidR="00222CA8">
            <w:rPr>
              <w:rFonts w:ascii="Arial" w:hAnsi="Arial" w:cs="Arial"/>
            </w:rPr>
            <w:t>15</w:t>
          </w:r>
        </w:p>
        <w:p w14:paraId="54C403B8" w14:textId="40F32C5B" w:rsidR="00103F5C" w:rsidRPr="00EE08BB" w:rsidRDefault="00103F5C" w:rsidP="00A758DA">
          <w:pPr>
            <w:rPr>
              <w:rFonts w:ascii="Arial" w:hAnsi="Arial" w:cs="Arial"/>
            </w:rPr>
          </w:pPr>
          <w:r w:rsidRPr="00EE08BB">
            <w:rPr>
              <w:rFonts w:ascii="Arial" w:hAnsi="Arial" w:cs="Arial"/>
            </w:rPr>
            <w:t xml:space="preserve">Version Number: </w:t>
          </w:r>
          <w:r w:rsidR="00222CA8">
            <w:rPr>
              <w:rFonts w:ascii="Arial" w:hAnsi="Arial" w:cs="Arial"/>
            </w:rPr>
            <w:t>2.0</w:t>
          </w:r>
        </w:p>
        <w:p w14:paraId="35F058AF" w14:textId="0B875A48" w:rsidR="00103F5C" w:rsidRPr="00EE08BB" w:rsidRDefault="00103F5C" w:rsidP="00A758DA">
          <w:pPr>
            <w:rPr>
              <w:rFonts w:ascii="Arial" w:hAnsi="Arial" w:cs="Arial"/>
            </w:rPr>
          </w:pPr>
          <w:r w:rsidRPr="00EE08BB">
            <w:rPr>
              <w:rFonts w:ascii="Arial" w:hAnsi="Arial" w:cs="Arial"/>
            </w:rPr>
            <w:t xml:space="preserve">Effective Date: </w:t>
          </w:r>
          <w:r w:rsidR="00C25FEC">
            <w:rPr>
              <w:rFonts w:ascii="Arial" w:hAnsi="Arial" w:cs="Arial"/>
            </w:rPr>
            <w:t>01 July 2024</w:t>
          </w:r>
        </w:p>
        <w:p w14:paraId="42BDC85C" w14:textId="76B1124D" w:rsidR="00103F5C" w:rsidRDefault="00103F5C" w:rsidP="00103F5C">
          <w:pPr>
            <w:spacing w:before="120" w:after="120"/>
          </w:pPr>
        </w:p>
      </w:tc>
    </w:tr>
    <w:tr w:rsidR="0033593F" w14:paraId="631E96C5" w14:textId="77777777" w:rsidTr="0033593F">
      <w:tc>
        <w:tcPr>
          <w:tcW w:w="4531" w:type="dxa"/>
          <w:tcBorders>
            <w:top w:val="nil"/>
            <w:left w:val="nil"/>
            <w:bottom w:val="nil"/>
            <w:right w:val="nil"/>
          </w:tcBorders>
          <w:vAlign w:val="center"/>
        </w:tcPr>
        <w:p w14:paraId="1CD0589A" w14:textId="77777777" w:rsidR="0033593F" w:rsidRDefault="0033593F" w:rsidP="0033593F">
          <w:pPr>
            <w:rPr>
              <w:noProof/>
            </w:rPr>
          </w:pPr>
        </w:p>
      </w:tc>
      <w:tc>
        <w:tcPr>
          <w:tcW w:w="4485" w:type="dxa"/>
          <w:tcBorders>
            <w:top w:val="nil"/>
            <w:left w:val="nil"/>
            <w:bottom w:val="nil"/>
            <w:right w:val="nil"/>
          </w:tcBorders>
          <w:vAlign w:val="center"/>
        </w:tcPr>
        <w:p w14:paraId="7FE3D991" w14:textId="77777777" w:rsidR="0033593F" w:rsidRPr="00103F5C" w:rsidRDefault="0033593F" w:rsidP="0033593F"/>
      </w:tc>
    </w:tr>
    <w:tr w:rsidR="0033593F" w14:paraId="67F867EF" w14:textId="77777777" w:rsidTr="0033593F">
      <w:tc>
        <w:tcPr>
          <w:tcW w:w="4531" w:type="dxa"/>
          <w:tcBorders>
            <w:top w:val="nil"/>
            <w:left w:val="nil"/>
            <w:bottom w:val="nil"/>
            <w:right w:val="nil"/>
          </w:tcBorders>
          <w:vAlign w:val="center"/>
        </w:tcPr>
        <w:p w14:paraId="11A275DF" w14:textId="77777777" w:rsidR="0033593F" w:rsidRDefault="0033593F" w:rsidP="0033593F">
          <w:pPr>
            <w:rPr>
              <w:noProof/>
            </w:rPr>
          </w:pPr>
        </w:p>
      </w:tc>
      <w:tc>
        <w:tcPr>
          <w:tcW w:w="4485" w:type="dxa"/>
          <w:tcBorders>
            <w:top w:val="nil"/>
            <w:left w:val="nil"/>
            <w:bottom w:val="nil"/>
            <w:right w:val="nil"/>
          </w:tcBorders>
          <w:vAlign w:val="center"/>
        </w:tcPr>
        <w:p w14:paraId="2090A436" w14:textId="77777777" w:rsidR="0033593F" w:rsidRPr="00103F5C" w:rsidRDefault="0033593F" w:rsidP="0033593F"/>
      </w:tc>
    </w:tr>
    <w:tr w:rsidR="00103F5C" w14:paraId="0735F356" w14:textId="77777777" w:rsidTr="0033593F">
      <w:tc>
        <w:tcPr>
          <w:tcW w:w="9016" w:type="dxa"/>
          <w:gridSpan w:val="2"/>
          <w:tcBorders>
            <w:top w:val="single" w:sz="18" w:space="0" w:color="auto"/>
            <w:left w:val="nil"/>
            <w:bottom w:val="single" w:sz="18" w:space="0" w:color="auto"/>
            <w:right w:val="nil"/>
          </w:tcBorders>
          <w:vAlign w:val="center"/>
        </w:tcPr>
        <w:p w14:paraId="0D761CA7" w14:textId="6C118CA0" w:rsidR="00103F5C" w:rsidRPr="00A758DA" w:rsidRDefault="002645A3" w:rsidP="00103F5C">
          <w:pPr>
            <w:jc w:val="center"/>
            <w:rPr>
              <w:rFonts w:ascii="Arial Black" w:hAnsi="Arial Black"/>
              <w:b/>
              <w:bCs/>
            </w:rPr>
          </w:pPr>
          <w:r>
            <w:rPr>
              <w:rFonts w:ascii="Arial Black" w:hAnsi="Arial Black"/>
              <w:b/>
              <w:bCs/>
            </w:rPr>
            <w:t xml:space="preserve">SOP for </w:t>
          </w:r>
          <w:r w:rsidR="00222CA8">
            <w:rPr>
              <w:rFonts w:ascii="Arial Black" w:hAnsi="Arial Black"/>
              <w:b/>
              <w:bCs/>
            </w:rPr>
            <w:t>Observers in Program Evaluation</w:t>
          </w:r>
        </w:p>
      </w:tc>
    </w:tr>
  </w:tbl>
  <w:p w14:paraId="1C05D894" w14:textId="77777777" w:rsidR="00AD338B" w:rsidRDefault="00AD338B" w:rsidP="00AD338B">
    <w:pPr>
      <w:pStyle w:val="Header"/>
    </w:pPr>
  </w:p>
  <w:p w14:paraId="30CF2A2E" w14:textId="77777777" w:rsidR="00103F5C" w:rsidRDefault="00103F5C" w:rsidP="00326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C5654"/>
    <w:multiLevelType w:val="hybridMultilevel"/>
    <w:tmpl w:val="4590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FC53E4"/>
    <w:multiLevelType w:val="hybridMultilevel"/>
    <w:tmpl w:val="1F7A12F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 w15:restartNumberingAfterBreak="0">
    <w:nsid w:val="62D55FB0"/>
    <w:multiLevelType w:val="hybridMultilevel"/>
    <w:tmpl w:val="889AF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8F421B"/>
    <w:multiLevelType w:val="hybridMultilevel"/>
    <w:tmpl w:val="686A12F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6EBE33FD"/>
    <w:multiLevelType w:val="multilevel"/>
    <w:tmpl w:val="77349B72"/>
    <w:lvl w:ilvl="0">
      <w:start w:val="1"/>
      <w:numFmt w:val="decimal"/>
      <w:pStyle w:val="Heading1"/>
      <w:lvlText w:val="%1.0"/>
      <w:lvlJc w:val="left"/>
      <w:pPr>
        <w:ind w:left="360" w:hanging="360"/>
      </w:pPr>
    </w:lvl>
    <w:lvl w:ilvl="1">
      <w:start w:val="1"/>
      <w:numFmt w:val="decimal"/>
      <w:pStyle w:val="Heading2"/>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355810526">
    <w:abstractNumId w:val="4"/>
  </w:num>
  <w:num w:numId="2" w16cid:durableId="965232570">
    <w:abstractNumId w:val="2"/>
  </w:num>
  <w:num w:numId="3" w16cid:durableId="74480495">
    <w:abstractNumId w:val="1"/>
  </w:num>
  <w:num w:numId="4" w16cid:durableId="995382040">
    <w:abstractNumId w:val="0"/>
  </w:num>
  <w:num w:numId="5" w16cid:durableId="184650716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8B"/>
    <w:rsid w:val="00004385"/>
    <w:rsid w:val="00006153"/>
    <w:rsid w:val="0004222A"/>
    <w:rsid w:val="000439B5"/>
    <w:rsid w:val="00052D46"/>
    <w:rsid w:val="000534DE"/>
    <w:rsid w:val="00076409"/>
    <w:rsid w:val="00087C87"/>
    <w:rsid w:val="000A625F"/>
    <w:rsid w:val="000C53AA"/>
    <w:rsid w:val="000D75C0"/>
    <w:rsid w:val="000D7730"/>
    <w:rsid w:val="000E29CC"/>
    <w:rsid w:val="000F6DAD"/>
    <w:rsid w:val="00103F5C"/>
    <w:rsid w:val="00106377"/>
    <w:rsid w:val="00113DBA"/>
    <w:rsid w:val="00126C56"/>
    <w:rsid w:val="00154C22"/>
    <w:rsid w:val="00170C09"/>
    <w:rsid w:val="00177BFD"/>
    <w:rsid w:val="00182923"/>
    <w:rsid w:val="001A6C22"/>
    <w:rsid w:val="001B0736"/>
    <w:rsid w:val="001D4E37"/>
    <w:rsid w:val="001F0B6B"/>
    <w:rsid w:val="002006F6"/>
    <w:rsid w:val="00222CA8"/>
    <w:rsid w:val="002364EE"/>
    <w:rsid w:val="00253232"/>
    <w:rsid w:val="002645A3"/>
    <w:rsid w:val="00271D90"/>
    <w:rsid w:val="00273B19"/>
    <w:rsid w:val="00292AE1"/>
    <w:rsid w:val="0029398B"/>
    <w:rsid w:val="002B1E9F"/>
    <w:rsid w:val="002B2BA9"/>
    <w:rsid w:val="002B2C5A"/>
    <w:rsid w:val="002E6EB2"/>
    <w:rsid w:val="00324F82"/>
    <w:rsid w:val="003269F0"/>
    <w:rsid w:val="00334D27"/>
    <w:rsid w:val="0033593F"/>
    <w:rsid w:val="003441C9"/>
    <w:rsid w:val="0035416F"/>
    <w:rsid w:val="00372348"/>
    <w:rsid w:val="00386809"/>
    <w:rsid w:val="003944E7"/>
    <w:rsid w:val="0039462B"/>
    <w:rsid w:val="00397057"/>
    <w:rsid w:val="003A3964"/>
    <w:rsid w:val="003B71E6"/>
    <w:rsid w:val="003B73CE"/>
    <w:rsid w:val="00407F01"/>
    <w:rsid w:val="00413184"/>
    <w:rsid w:val="0042499E"/>
    <w:rsid w:val="00446BFD"/>
    <w:rsid w:val="00461EB0"/>
    <w:rsid w:val="00472E8F"/>
    <w:rsid w:val="004813AE"/>
    <w:rsid w:val="00492B05"/>
    <w:rsid w:val="0049315C"/>
    <w:rsid w:val="004A721E"/>
    <w:rsid w:val="004C2D26"/>
    <w:rsid w:val="004D345D"/>
    <w:rsid w:val="004F2D01"/>
    <w:rsid w:val="00501219"/>
    <w:rsid w:val="00503A1D"/>
    <w:rsid w:val="005100B4"/>
    <w:rsid w:val="00554371"/>
    <w:rsid w:val="00555046"/>
    <w:rsid w:val="00556857"/>
    <w:rsid w:val="0057343E"/>
    <w:rsid w:val="005861EC"/>
    <w:rsid w:val="005B0ED3"/>
    <w:rsid w:val="005C5F85"/>
    <w:rsid w:val="005D5627"/>
    <w:rsid w:val="005D7492"/>
    <w:rsid w:val="005F3B5E"/>
    <w:rsid w:val="005F6FD1"/>
    <w:rsid w:val="00601615"/>
    <w:rsid w:val="00602E0E"/>
    <w:rsid w:val="00666A9A"/>
    <w:rsid w:val="00696F93"/>
    <w:rsid w:val="006A3E91"/>
    <w:rsid w:val="006A3EAC"/>
    <w:rsid w:val="006A7BD3"/>
    <w:rsid w:val="006B7C3F"/>
    <w:rsid w:val="006C3D07"/>
    <w:rsid w:val="006D3D61"/>
    <w:rsid w:val="006D5AB8"/>
    <w:rsid w:val="006E48ED"/>
    <w:rsid w:val="006F3502"/>
    <w:rsid w:val="006F3756"/>
    <w:rsid w:val="007201D8"/>
    <w:rsid w:val="00721E3B"/>
    <w:rsid w:val="0075459F"/>
    <w:rsid w:val="00770018"/>
    <w:rsid w:val="007936D3"/>
    <w:rsid w:val="007942E3"/>
    <w:rsid w:val="007A3CA0"/>
    <w:rsid w:val="007B4EC2"/>
    <w:rsid w:val="007D78BC"/>
    <w:rsid w:val="00802493"/>
    <w:rsid w:val="00804713"/>
    <w:rsid w:val="00815123"/>
    <w:rsid w:val="00817C67"/>
    <w:rsid w:val="00836BBD"/>
    <w:rsid w:val="008469A2"/>
    <w:rsid w:val="00851C14"/>
    <w:rsid w:val="0086232E"/>
    <w:rsid w:val="00892F04"/>
    <w:rsid w:val="00893F08"/>
    <w:rsid w:val="008B47DF"/>
    <w:rsid w:val="008C70A8"/>
    <w:rsid w:val="008D07AB"/>
    <w:rsid w:val="008D4410"/>
    <w:rsid w:val="008E66D2"/>
    <w:rsid w:val="00906DA0"/>
    <w:rsid w:val="00916323"/>
    <w:rsid w:val="009223C8"/>
    <w:rsid w:val="00933E0F"/>
    <w:rsid w:val="00945AE6"/>
    <w:rsid w:val="0095200F"/>
    <w:rsid w:val="0095488D"/>
    <w:rsid w:val="009D4600"/>
    <w:rsid w:val="009E614D"/>
    <w:rsid w:val="00A12300"/>
    <w:rsid w:val="00A44017"/>
    <w:rsid w:val="00A54309"/>
    <w:rsid w:val="00A545C3"/>
    <w:rsid w:val="00A557C6"/>
    <w:rsid w:val="00A7138C"/>
    <w:rsid w:val="00A758DA"/>
    <w:rsid w:val="00A80116"/>
    <w:rsid w:val="00AC766D"/>
    <w:rsid w:val="00AD338B"/>
    <w:rsid w:val="00AE1CF5"/>
    <w:rsid w:val="00AE6D3C"/>
    <w:rsid w:val="00AF54DA"/>
    <w:rsid w:val="00B0338F"/>
    <w:rsid w:val="00B22337"/>
    <w:rsid w:val="00B5282E"/>
    <w:rsid w:val="00B66652"/>
    <w:rsid w:val="00B77C4C"/>
    <w:rsid w:val="00B77C53"/>
    <w:rsid w:val="00BA0E20"/>
    <w:rsid w:val="00BC4AB8"/>
    <w:rsid w:val="00BD0050"/>
    <w:rsid w:val="00BD2B27"/>
    <w:rsid w:val="00BD350A"/>
    <w:rsid w:val="00BD4D24"/>
    <w:rsid w:val="00BF2380"/>
    <w:rsid w:val="00BF7BFA"/>
    <w:rsid w:val="00C155CF"/>
    <w:rsid w:val="00C17A2A"/>
    <w:rsid w:val="00C214C3"/>
    <w:rsid w:val="00C25FEC"/>
    <w:rsid w:val="00C31E98"/>
    <w:rsid w:val="00C43B31"/>
    <w:rsid w:val="00C61794"/>
    <w:rsid w:val="00C7151D"/>
    <w:rsid w:val="00C73858"/>
    <w:rsid w:val="00C92094"/>
    <w:rsid w:val="00CD0E15"/>
    <w:rsid w:val="00CD4AB6"/>
    <w:rsid w:val="00CD73F8"/>
    <w:rsid w:val="00CE046D"/>
    <w:rsid w:val="00CE46E5"/>
    <w:rsid w:val="00D11434"/>
    <w:rsid w:val="00D46858"/>
    <w:rsid w:val="00D517BA"/>
    <w:rsid w:val="00D62F5F"/>
    <w:rsid w:val="00D75966"/>
    <w:rsid w:val="00D75CB6"/>
    <w:rsid w:val="00DB24D2"/>
    <w:rsid w:val="00DE4F2D"/>
    <w:rsid w:val="00DF38FA"/>
    <w:rsid w:val="00E34442"/>
    <w:rsid w:val="00E7313A"/>
    <w:rsid w:val="00E7340E"/>
    <w:rsid w:val="00E962CE"/>
    <w:rsid w:val="00EA1C79"/>
    <w:rsid w:val="00EB64C5"/>
    <w:rsid w:val="00EB735F"/>
    <w:rsid w:val="00EC002E"/>
    <w:rsid w:val="00ED02BE"/>
    <w:rsid w:val="00EE08BB"/>
    <w:rsid w:val="00EF5A2E"/>
    <w:rsid w:val="00F31CFE"/>
    <w:rsid w:val="00F51046"/>
    <w:rsid w:val="00F95D38"/>
    <w:rsid w:val="00FA3E9B"/>
    <w:rsid w:val="00FA4581"/>
    <w:rsid w:val="00FB0522"/>
    <w:rsid w:val="00FC0517"/>
    <w:rsid w:val="00FC4345"/>
    <w:rsid w:val="00FE5022"/>
    <w:rsid w:val="00FF61BB"/>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59F44"/>
  <w15:chartTrackingRefBased/>
  <w15:docId w15:val="{95DCC5D3-8423-4968-B048-34B8AAB1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602E0E"/>
    <w:pPr>
      <w:numPr>
        <w:numId w:val="1"/>
      </w:numPr>
      <w:ind w:right="29"/>
      <w:jc w:val="both"/>
      <w:outlineLvl w:val="0"/>
    </w:pPr>
    <w:rPr>
      <w:rFonts w:ascii="Arial Narrow" w:eastAsia="Arial Narrow" w:hAnsi="Arial Narrow" w:cs="Arial Narrow"/>
      <w:b/>
      <w:bCs/>
    </w:rPr>
  </w:style>
  <w:style w:type="paragraph" w:styleId="Heading2">
    <w:name w:val="heading 2"/>
    <w:basedOn w:val="ListParagraph"/>
    <w:next w:val="Normal"/>
    <w:link w:val="Heading2Char"/>
    <w:uiPriority w:val="9"/>
    <w:unhideWhenUsed/>
    <w:qFormat/>
    <w:rsid w:val="00602E0E"/>
    <w:pPr>
      <w:numPr>
        <w:ilvl w:val="1"/>
        <w:numId w:val="1"/>
      </w:numPr>
      <w:spacing w:after="120"/>
      <w:ind w:left="397" w:hanging="397"/>
      <w:jc w:val="both"/>
      <w:outlineLvl w:val="1"/>
    </w:pPr>
    <w:rPr>
      <w:rFonts w:ascii="Arial Narrow" w:eastAsia="Arial Narrow" w:hAnsi="Arial Narrow" w:cs="Arial Narrow"/>
      <w:b/>
      <w:bCs/>
    </w:rPr>
  </w:style>
  <w:style w:type="paragraph" w:styleId="Heading3">
    <w:name w:val="heading 3"/>
    <w:basedOn w:val="Normal"/>
    <w:next w:val="Normal"/>
    <w:link w:val="Heading3Char"/>
    <w:uiPriority w:val="9"/>
    <w:semiHidden/>
    <w:unhideWhenUsed/>
    <w:qFormat/>
    <w:rsid w:val="00AD3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E0E"/>
    <w:rPr>
      <w:rFonts w:ascii="Arial Narrow" w:eastAsia="Arial Narrow" w:hAnsi="Arial Narrow" w:cs="Arial Narrow"/>
      <w:b/>
      <w:bCs/>
    </w:rPr>
  </w:style>
  <w:style w:type="character" w:customStyle="1" w:styleId="Heading2Char">
    <w:name w:val="Heading 2 Char"/>
    <w:basedOn w:val="DefaultParagraphFont"/>
    <w:link w:val="Heading2"/>
    <w:uiPriority w:val="9"/>
    <w:rsid w:val="00602E0E"/>
    <w:rPr>
      <w:rFonts w:ascii="Arial Narrow" w:eastAsia="Arial Narrow" w:hAnsi="Arial Narrow" w:cs="Arial Narrow"/>
      <w:b/>
      <w:bCs/>
    </w:rPr>
  </w:style>
  <w:style w:type="character" w:customStyle="1" w:styleId="Heading3Char">
    <w:name w:val="Heading 3 Char"/>
    <w:basedOn w:val="DefaultParagraphFont"/>
    <w:link w:val="Heading3"/>
    <w:uiPriority w:val="9"/>
    <w:semiHidden/>
    <w:rsid w:val="00AD3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38B"/>
    <w:rPr>
      <w:rFonts w:eastAsiaTheme="majorEastAsia" w:cstheme="majorBidi"/>
      <w:color w:val="272727" w:themeColor="text1" w:themeTint="D8"/>
    </w:rPr>
  </w:style>
  <w:style w:type="paragraph" w:styleId="Title">
    <w:name w:val="Title"/>
    <w:basedOn w:val="Normal"/>
    <w:next w:val="Normal"/>
    <w:link w:val="TitleChar"/>
    <w:uiPriority w:val="10"/>
    <w:qFormat/>
    <w:rsid w:val="00AD3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38B"/>
    <w:pPr>
      <w:spacing w:before="160"/>
      <w:jc w:val="center"/>
    </w:pPr>
    <w:rPr>
      <w:i/>
      <w:iCs/>
      <w:color w:val="404040" w:themeColor="text1" w:themeTint="BF"/>
    </w:rPr>
  </w:style>
  <w:style w:type="character" w:customStyle="1" w:styleId="QuoteChar">
    <w:name w:val="Quote Char"/>
    <w:basedOn w:val="DefaultParagraphFont"/>
    <w:link w:val="Quote"/>
    <w:uiPriority w:val="29"/>
    <w:rsid w:val="00AD338B"/>
    <w:rPr>
      <w:i/>
      <w:iCs/>
      <w:color w:val="404040" w:themeColor="text1" w:themeTint="BF"/>
    </w:rPr>
  </w:style>
  <w:style w:type="paragraph" w:styleId="ListParagraph">
    <w:name w:val="List Paragraph"/>
    <w:basedOn w:val="Normal"/>
    <w:uiPriority w:val="99"/>
    <w:qFormat/>
    <w:rsid w:val="00AD338B"/>
    <w:pPr>
      <w:ind w:left="720"/>
      <w:contextualSpacing/>
    </w:pPr>
  </w:style>
  <w:style w:type="character" w:styleId="IntenseEmphasis">
    <w:name w:val="Intense Emphasis"/>
    <w:basedOn w:val="DefaultParagraphFont"/>
    <w:uiPriority w:val="21"/>
    <w:qFormat/>
    <w:rsid w:val="00AD338B"/>
    <w:rPr>
      <w:i/>
      <w:iCs/>
      <w:color w:val="0F4761" w:themeColor="accent1" w:themeShade="BF"/>
    </w:rPr>
  </w:style>
  <w:style w:type="paragraph" w:styleId="IntenseQuote">
    <w:name w:val="Intense Quote"/>
    <w:basedOn w:val="Normal"/>
    <w:next w:val="Normal"/>
    <w:link w:val="IntenseQuoteChar"/>
    <w:uiPriority w:val="30"/>
    <w:qFormat/>
    <w:rsid w:val="00AD3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38B"/>
    <w:rPr>
      <w:i/>
      <w:iCs/>
      <w:color w:val="0F4761" w:themeColor="accent1" w:themeShade="BF"/>
    </w:rPr>
  </w:style>
  <w:style w:type="character" w:styleId="IntenseReference">
    <w:name w:val="Intense Reference"/>
    <w:basedOn w:val="DefaultParagraphFont"/>
    <w:uiPriority w:val="32"/>
    <w:qFormat/>
    <w:rsid w:val="00AD338B"/>
    <w:rPr>
      <w:b/>
      <w:bCs/>
      <w:smallCaps/>
      <w:color w:val="0F4761" w:themeColor="accent1" w:themeShade="BF"/>
      <w:spacing w:val="5"/>
    </w:rPr>
  </w:style>
  <w:style w:type="table" w:styleId="TableGrid">
    <w:name w:val="Table Grid"/>
    <w:basedOn w:val="TableNormal"/>
    <w:uiPriority w:val="39"/>
    <w:rsid w:val="00AD3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3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38B"/>
  </w:style>
  <w:style w:type="paragraph" w:styleId="Footer">
    <w:name w:val="footer"/>
    <w:basedOn w:val="Normal"/>
    <w:link w:val="FooterChar"/>
    <w:uiPriority w:val="99"/>
    <w:unhideWhenUsed/>
    <w:rsid w:val="00AD3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38B"/>
  </w:style>
  <w:style w:type="paragraph" w:styleId="BodyText">
    <w:name w:val="Body Text"/>
    <w:basedOn w:val="Normal"/>
    <w:link w:val="BodyTextChar"/>
    <w:rsid w:val="00324F82"/>
    <w:pPr>
      <w:spacing w:after="0" w:line="240" w:lineRule="auto"/>
      <w:jc w:val="both"/>
    </w:pPr>
    <w:rPr>
      <w:rFonts w:ascii="Tahoma" w:eastAsia="Times New Roman" w:hAnsi="Tahoma" w:cs="Times New Roman"/>
      <w:spacing w:val="10"/>
      <w:kern w:val="0"/>
      <w:sz w:val="24"/>
      <w:szCs w:val="20"/>
      <w14:ligatures w14:val="none"/>
    </w:rPr>
  </w:style>
  <w:style w:type="character" w:customStyle="1" w:styleId="BodyTextChar">
    <w:name w:val="Body Text Char"/>
    <w:basedOn w:val="DefaultParagraphFont"/>
    <w:link w:val="BodyText"/>
    <w:rsid w:val="00324F82"/>
    <w:rPr>
      <w:rFonts w:ascii="Tahoma" w:eastAsia="Times New Roman" w:hAnsi="Tahoma" w:cs="Times New Roman"/>
      <w:spacing w:val="10"/>
      <w:kern w:val="0"/>
      <w:sz w:val="24"/>
      <w:szCs w:val="20"/>
      <w14:ligatures w14:val="none"/>
    </w:rPr>
  </w:style>
  <w:style w:type="table" w:customStyle="1" w:styleId="4">
    <w:name w:val="4"/>
    <w:basedOn w:val="TableNormal"/>
    <w:rsid w:val="00933E0F"/>
    <w:pPr>
      <w:spacing w:after="0" w:line="240" w:lineRule="auto"/>
    </w:pPr>
    <w:rPr>
      <w:rFonts w:ascii="Times New Roman" w:eastAsia="Times New Roman" w:hAnsi="Times New Roman" w:cs="Times New Roman"/>
      <w:kern w:val="0"/>
      <w:sz w:val="24"/>
      <w:szCs w:val="24"/>
      <w:lang w:bidi="bn-BD"/>
      <w14:ligatures w14:val="none"/>
    </w:rPr>
    <w:tblPr>
      <w:tblStyleRowBandSize w:val="1"/>
      <w:tblStyleColBandSize w:val="1"/>
      <w:tblCellMar>
        <w:left w:w="0" w:type="dxa"/>
        <w:right w:w="0" w:type="dxa"/>
      </w:tblCellMar>
    </w:tblPr>
  </w:style>
  <w:style w:type="paragraph" w:styleId="BodyText3">
    <w:name w:val="Body Text 3"/>
    <w:basedOn w:val="Normal"/>
    <w:link w:val="BodyText3Char"/>
    <w:uiPriority w:val="99"/>
    <w:semiHidden/>
    <w:unhideWhenUsed/>
    <w:rsid w:val="006D3D61"/>
    <w:pPr>
      <w:spacing w:after="120"/>
    </w:pPr>
    <w:rPr>
      <w:sz w:val="16"/>
      <w:szCs w:val="16"/>
    </w:rPr>
  </w:style>
  <w:style w:type="character" w:customStyle="1" w:styleId="BodyText3Char">
    <w:name w:val="Body Text 3 Char"/>
    <w:basedOn w:val="DefaultParagraphFont"/>
    <w:link w:val="BodyText3"/>
    <w:uiPriority w:val="99"/>
    <w:semiHidden/>
    <w:rsid w:val="006D3D61"/>
    <w:rPr>
      <w:sz w:val="16"/>
      <w:szCs w:val="16"/>
    </w:rPr>
  </w:style>
  <w:style w:type="character" w:styleId="FootnoteReference">
    <w:name w:val="footnote reference"/>
    <w:basedOn w:val="DefaultParagraphFont"/>
    <w:semiHidden/>
    <w:unhideWhenUsed/>
    <w:rsid w:val="00052D46"/>
    <w:rPr>
      <w:vertAlign w:val="superscript"/>
    </w:rPr>
  </w:style>
  <w:style w:type="paragraph" w:customStyle="1" w:styleId="Body12">
    <w:name w:val="Body12"/>
    <w:basedOn w:val="ListParagraph"/>
    <w:qFormat/>
    <w:rsid w:val="009223C8"/>
    <w:pPr>
      <w:spacing w:after="240" w:line="240" w:lineRule="auto"/>
      <w:ind w:left="397"/>
      <w:jc w:val="both"/>
    </w:pPr>
    <w:rPr>
      <w:rFonts w:ascii="Arial Narrow" w:eastAsia="Arial Narrow" w:hAnsi="Arial Narrow" w:cs="Arial Narrow"/>
    </w:rPr>
  </w:style>
  <w:style w:type="table" w:customStyle="1" w:styleId="Table-text">
    <w:name w:val="Table-text"/>
    <w:basedOn w:val="TableNormal"/>
    <w:uiPriority w:val="99"/>
    <w:rsid w:val="0057343E"/>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1FA4F-0C7A-4C3D-876A-441E9105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Kazi Bayzid Kabir</dc:creator>
  <cp:keywords/>
  <dc:description/>
  <cp:lastModifiedBy>Bayzid Kazi</cp:lastModifiedBy>
  <cp:revision>5</cp:revision>
  <cp:lastPrinted>2024-10-10T08:28:00Z</cp:lastPrinted>
  <dcterms:created xsi:type="dcterms:W3CDTF">2024-07-06T02:45:00Z</dcterms:created>
  <dcterms:modified xsi:type="dcterms:W3CDTF">2024-10-10T08:28:00Z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044db0f4-3941-4365-a241-c535097d7828</vt:lpwstr>
  </property>
</Properties>
</file>